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8"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lang w:val="en-US" w:eastAsia="zh-CN"/>
        </w:rPr>
        <w:t>杨凌示范区工商贸领域</w:t>
      </w:r>
      <w:r>
        <w:rPr>
          <w:rFonts w:hint="eastAsia" w:ascii="方正小标宋简体" w:eastAsia="方正小标宋简体"/>
          <w:sz w:val="44"/>
          <w:szCs w:val="44"/>
        </w:rPr>
        <w:t>“双随机”抽查事项清单</w:t>
      </w:r>
    </w:p>
    <w:p>
      <w:pPr>
        <w:spacing w:line="300" w:lineRule="exact"/>
        <w:rPr>
          <w:rFonts w:hint="eastAsia" w:ascii="楷体" w:hAnsi="楷体" w:eastAsia="楷体"/>
          <w:sz w:val="18"/>
          <w:szCs w:val="18"/>
        </w:rPr>
      </w:pPr>
    </w:p>
    <w:tbl>
      <w:tblPr>
        <w:tblStyle w:val="3"/>
        <w:tblW w:w="15924" w:type="dxa"/>
        <w:jc w:val="center"/>
        <w:tblInd w:w="-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8"/>
        <w:gridCol w:w="4549"/>
        <w:gridCol w:w="1666"/>
        <w:gridCol w:w="885"/>
        <w:gridCol w:w="1268"/>
        <w:gridCol w:w="3051"/>
        <w:gridCol w:w="128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8" w:type="dxa"/>
            <w:vAlign w:val="center"/>
          </w:tcPr>
          <w:p>
            <w:pPr>
              <w:spacing w:line="400" w:lineRule="exact"/>
              <w:jc w:val="center"/>
              <w:rPr>
                <w:rFonts w:hint="eastAsia" w:ascii="黑体" w:hAnsi="黑体" w:eastAsia="黑体"/>
                <w:sz w:val="24"/>
                <w:szCs w:val="24"/>
              </w:rPr>
            </w:pPr>
            <w:r>
              <w:rPr>
                <w:rFonts w:hint="eastAsia" w:ascii="黑体" w:hAnsi="黑体" w:eastAsia="黑体"/>
                <w:sz w:val="24"/>
                <w:szCs w:val="24"/>
              </w:rPr>
              <w:t>序号</w:t>
            </w:r>
          </w:p>
        </w:tc>
        <w:tc>
          <w:tcPr>
            <w:tcW w:w="1248" w:type="dxa"/>
            <w:vAlign w:val="center"/>
          </w:tcPr>
          <w:p>
            <w:pPr>
              <w:spacing w:line="400" w:lineRule="exact"/>
              <w:jc w:val="center"/>
              <w:rPr>
                <w:rFonts w:hint="eastAsia" w:ascii="黑体" w:hAnsi="黑体" w:eastAsia="黑体"/>
                <w:sz w:val="24"/>
                <w:szCs w:val="24"/>
              </w:rPr>
            </w:pPr>
            <w:r>
              <w:rPr>
                <w:rFonts w:hint="eastAsia" w:ascii="黑体" w:hAnsi="黑体" w:eastAsia="黑体"/>
                <w:sz w:val="24"/>
                <w:szCs w:val="24"/>
              </w:rPr>
              <w:t>抽查事项</w:t>
            </w:r>
          </w:p>
        </w:tc>
        <w:tc>
          <w:tcPr>
            <w:tcW w:w="4549" w:type="dxa"/>
            <w:vAlign w:val="center"/>
          </w:tcPr>
          <w:p>
            <w:pPr>
              <w:spacing w:line="400" w:lineRule="exact"/>
              <w:jc w:val="center"/>
              <w:rPr>
                <w:rFonts w:hint="eastAsia" w:ascii="黑体" w:hAnsi="黑体" w:eastAsia="黑体"/>
                <w:sz w:val="24"/>
                <w:szCs w:val="24"/>
              </w:rPr>
            </w:pPr>
            <w:r>
              <w:rPr>
                <w:rFonts w:hint="eastAsia" w:ascii="黑体" w:hAnsi="黑体" w:eastAsia="黑体"/>
                <w:sz w:val="24"/>
                <w:szCs w:val="24"/>
              </w:rPr>
              <w:t>抽查依据</w:t>
            </w:r>
          </w:p>
        </w:tc>
        <w:tc>
          <w:tcPr>
            <w:tcW w:w="1666" w:type="dxa"/>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市场主体</w:t>
            </w:r>
          </w:p>
          <w:p>
            <w:pPr>
              <w:spacing w:line="360" w:lineRule="exact"/>
              <w:jc w:val="center"/>
              <w:rPr>
                <w:rFonts w:hint="eastAsia" w:ascii="黑体" w:hAnsi="黑体" w:eastAsia="黑体"/>
                <w:sz w:val="24"/>
                <w:szCs w:val="24"/>
              </w:rPr>
            </w:pPr>
            <w:r>
              <w:rPr>
                <w:rFonts w:hint="eastAsia" w:ascii="黑体" w:hAnsi="黑体" w:eastAsia="黑体"/>
                <w:sz w:val="24"/>
                <w:szCs w:val="24"/>
              </w:rPr>
              <w:t>数量</w:t>
            </w:r>
          </w:p>
        </w:tc>
        <w:tc>
          <w:tcPr>
            <w:tcW w:w="885" w:type="dxa"/>
            <w:vAlign w:val="center"/>
          </w:tcPr>
          <w:p>
            <w:pPr>
              <w:spacing w:line="400" w:lineRule="exact"/>
              <w:jc w:val="center"/>
              <w:rPr>
                <w:rFonts w:hint="eastAsia" w:ascii="黑体" w:hAnsi="黑体" w:eastAsia="黑体"/>
                <w:sz w:val="24"/>
                <w:szCs w:val="24"/>
              </w:rPr>
            </w:pPr>
            <w:r>
              <w:rPr>
                <w:rFonts w:hint="eastAsia" w:ascii="黑体" w:hAnsi="黑体" w:eastAsia="黑体"/>
                <w:sz w:val="24"/>
                <w:szCs w:val="24"/>
              </w:rPr>
              <w:t>抽查</w:t>
            </w:r>
          </w:p>
          <w:p>
            <w:pPr>
              <w:spacing w:line="400" w:lineRule="exact"/>
              <w:jc w:val="center"/>
              <w:rPr>
                <w:rFonts w:hint="eastAsia" w:ascii="黑体" w:hAnsi="黑体" w:eastAsia="黑体"/>
                <w:sz w:val="24"/>
                <w:szCs w:val="24"/>
              </w:rPr>
            </w:pPr>
            <w:r>
              <w:rPr>
                <w:rFonts w:hint="eastAsia" w:ascii="黑体" w:hAnsi="黑体" w:eastAsia="黑体"/>
                <w:sz w:val="24"/>
                <w:szCs w:val="24"/>
              </w:rPr>
              <w:t>比例</w:t>
            </w:r>
          </w:p>
        </w:tc>
        <w:tc>
          <w:tcPr>
            <w:tcW w:w="1268" w:type="dxa"/>
            <w:vAlign w:val="center"/>
          </w:tcPr>
          <w:p>
            <w:pPr>
              <w:spacing w:line="400" w:lineRule="exact"/>
              <w:jc w:val="center"/>
              <w:rPr>
                <w:rFonts w:hint="eastAsia" w:ascii="黑体" w:hAnsi="黑体" w:eastAsia="黑体"/>
                <w:sz w:val="24"/>
                <w:szCs w:val="24"/>
              </w:rPr>
            </w:pPr>
            <w:r>
              <w:rPr>
                <w:rFonts w:hint="eastAsia" w:ascii="黑体" w:hAnsi="黑体" w:eastAsia="黑体"/>
                <w:sz w:val="24"/>
                <w:szCs w:val="24"/>
              </w:rPr>
              <w:t>抽查</w:t>
            </w:r>
          </w:p>
          <w:p>
            <w:pPr>
              <w:spacing w:line="400" w:lineRule="exact"/>
              <w:jc w:val="center"/>
              <w:rPr>
                <w:rFonts w:hint="eastAsia" w:ascii="黑体" w:hAnsi="黑体" w:eastAsia="黑体"/>
                <w:sz w:val="24"/>
                <w:szCs w:val="24"/>
              </w:rPr>
            </w:pPr>
            <w:r>
              <w:rPr>
                <w:rFonts w:hint="eastAsia" w:ascii="黑体" w:hAnsi="黑体" w:eastAsia="黑体"/>
                <w:sz w:val="24"/>
                <w:szCs w:val="24"/>
              </w:rPr>
              <w:t>频次</w:t>
            </w:r>
          </w:p>
        </w:tc>
        <w:tc>
          <w:tcPr>
            <w:tcW w:w="3051" w:type="dxa"/>
            <w:vAlign w:val="center"/>
          </w:tcPr>
          <w:p>
            <w:pPr>
              <w:spacing w:line="400" w:lineRule="exact"/>
              <w:jc w:val="center"/>
              <w:rPr>
                <w:rFonts w:hint="eastAsia" w:ascii="黑体" w:hAnsi="黑体" w:eastAsia="黑体"/>
                <w:sz w:val="24"/>
                <w:szCs w:val="24"/>
              </w:rPr>
            </w:pPr>
            <w:r>
              <w:rPr>
                <w:rFonts w:hint="eastAsia" w:ascii="黑体" w:hAnsi="黑体" w:eastAsia="黑体"/>
                <w:sz w:val="24"/>
                <w:szCs w:val="24"/>
              </w:rPr>
              <w:t>抽查内容</w:t>
            </w:r>
          </w:p>
        </w:tc>
        <w:tc>
          <w:tcPr>
            <w:tcW w:w="1284" w:type="dxa"/>
            <w:vAlign w:val="center"/>
          </w:tcPr>
          <w:p>
            <w:pPr>
              <w:spacing w:line="400" w:lineRule="exact"/>
              <w:jc w:val="center"/>
              <w:rPr>
                <w:rFonts w:hint="eastAsia" w:ascii="黑体" w:hAnsi="黑体" w:eastAsia="黑体"/>
                <w:sz w:val="24"/>
                <w:szCs w:val="24"/>
              </w:rPr>
            </w:pPr>
            <w:r>
              <w:rPr>
                <w:rFonts w:hint="eastAsia" w:ascii="黑体" w:hAnsi="黑体" w:eastAsia="黑体"/>
                <w:sz w:val="24"/>
                <w:szCs w:val="24"/>
              </w:rPr>
              <w:t>抽查</w:t>
            </w:r>
          </w:p>
          <w:p>
            <w:pPr>
              <w:spacing w:line="400" w:lineRule="exact"/>
              <w:jc w:val="center"/>
              <w:rPr>
                <w:rFonts w:hint="eastAsia" w:ascii="黑体" w:hAnsi="黑体" w:eastAsia="黑体"/>
                <w:sz w:val="24"/>
                <w:szCs w:val="24"/>
              </w:rPr>
            </w:pPr>
            <w:r>
              <w:rPr>
                <w:rFonts w:hint="eastAsia" w:ascii="黑体" w:hAnsi="黑体" w:eastAsia="黑体"/>
                <w:sz w:val="24"/>
                <w:szCs w:val="24"/>
              </w:rPr>
              <w:t>方式</w:t>
            </w:r>
          </w:p>
        </w:tc>
        <w:tc>
          <w:tcPr>
            <w:tcW w:w="1445" w:type="dxa"/>
            <w:vAlign w:val="center"/>
          </w:tcPr>
          <w:p>
            <w:pPr>
              <w:spacing w:line="400" w:lineRule="exact"/>
              <w:jc w:val="center"/>
              <w:rPr>
                <w:rFonts w:hint="eastAsia" w:ascii="黑体" w:hAnsi="黑体" w:eastAsia="黑体"/>
                <w:sz w:val="24"/>
                <w:szCs w:val="24"/>
              </w:rPr>
            </w:pPr>
            <w:r>
              <w:rPr>
                <w:rFonts w:hint="eastAsia" w:ascii="黑体" w:hAnsi="黑体" w:eastAsia="黑体"/>
                <w:sz w:val="24"/>
                <w:szCs w:val="24"/>
              </w:rPr>
              <w:t>抽查</w:t>
            </w:r>
          </w:p>
          <w:p>
            <w:pPr>
              <w:spacing w:line="400" w:lineRule="exact"/>
              <w:jc w:val="center"/>
              <w:rPr>
                <w:sz w:val="24"/>
                <w:szCs w:val="24"/>
              </w:rPr>
            </w:pPr>
            <w:r>
              <w:rPr>
                <w:rFonts w:hint="eastAsia" w:ascii="黑体" w:hAnsi="黑体" w:eastAsia="黑体"/>
                <w:sz w:val="24"/>
                <w:szCs w:val="24"/>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8" w:type="dxa"/>
            <w:vAlign w:val="center"/>
          </w:tcPr>
          <w:p>
            <w:pPr>
              <w:widowControl/>
              <w:spacing w:line="240" w:lineRule="atLeast"/>
              <w:jc w:val="center"/>
              <w:rPr>
                <w:rFonts w:hint="eastAsia" w:ascii="黑体" w:hAnsi="黑体" w:eastAsia="黑体"/>
                <w:color w:val="000000"/>
                <w:lang w:val="en-US" w:eastAsia="zh-CN"/>
              </w:rPr>
            </w:pPr>
            <w:r>
              <w:rPr>
                <w:rFonts w:hint="eastAsia" w:ascii="黑体" w:hAnsi="黑体" w:eastAsia="黑体"/>
                <w:color w:val="000000"/>
                <w:lang w:val="en-US" w:eastAsia="zh-CN"/>
              </w:rPr>
              <w:t>1</w:t>
            </w:r>
          </w:p>
        </w:tc>
        <w:tc>
          <w:tcPr>
            <w:tcW w:w="1248" w:type="dxa"/>
            <w:vAlign w:val="center"/>
          </w:tcPr>
          <w:p>
            <w:pPr>
              <w:widowControl/>
              <w:spacing w:line="240" w:lineRule="atLeast"/>
              <w:jc w:val="left"/>
              <w:rPr>
                <w:rFonts w:hint="eastAsia" w:ascii="黑体" w:hAnsi="黑体" w:eastAsia="黑体"/>
                <w:color w:val="000000"/>
                <w:lang w:eastAsia="zh-CN"/>
              </w:rPr>
            </w:pPr>
            <w:r>
              <w:rPr>
                <w:rFonts w:hint="eastAsia" w:ascii="黑体" w:hAnsi="黑体" w:eastAsia="黑体"/>
                <w:color w:val="000000"/>
                <w:lang w:eastAsia="zh-CN"/>
              </w:rPr>
              <w:t>汽车销售企业监管</w:t>
            </w:r>
          </w:p>
        </w:tc>
        <w:tc>
          <w:tcPr>
            <w:tcW w:w="4549" w:type="dxa"/>
            <w:vAlign w:val="center"/>
          </w:tcPr>
          <w:p>
            <w:pPr>
              <w:widowControl/>
              <w:spacing w:line="240" w:lineRule="atLeast"/>
              <w:rPr>
                <w:rFonts w:hint="eastAsia" w:ascii="黑体" w:hAnsi="黑体" w:eastAsia="黑体"/>
                <w:color w:val="000000"/>
                <w:lang w:eastAsia="zh-CN"/>
              </w:rPr>
            </w:pPr>
            <w:r>
              <w:rPr>
                <w:rFonts w:hint="eastAsia" w:ascii="黑体" w:hAnsi="黑体" w:eastAsia="黑体"/>
                <w:color w:val="000000"/>
                <w:lang w:eastAsia="zh-CN"/>
              </w:rPr>
              <w:t>《汽车销售管理办法》</w:t>
            </w:r>
            <w:r>
              <w:rPr>
                <w:rFonts w:hint="eastAsia" w:ascii="黑体" w:hAnsi="黑体" w:eastAsia="黑体"/>
                <w:color w:val="000000"/>
              </w:rPr>
              <w:t>第二十九条县级以上地方商务主管部门应当依据职责，采取“双随机”办法对汽车销售及其相关服务活动实施日常监督检查。</w:t>
            </w:r>
          </w:p>
        </w:tc>
        <w:tc>
          <w:tcPr>
            <w:tcW w:w="1666" w:type="dxa"/>
            <w:vAlign w:val="center"/>
          </w:tcPr>
          <w:p>
            <w:pPr>
              <w:widowControl/>
              <w:spacing w:line="240" w:lineRule="atLeast"/>
              <w:jc w:val="center"/>
              <w:rPr>
                <w:rFonts w:hint="eastAsia" w:ascii="黑体" w:hAnsi="黑体" w:eastAsia="黑体"/>
                <w:color w:val="000000"/>
                <w:lang w:val="en-US" w:eastAsia="zh-CN"/>
              </w:rPr>
            </w:pPr>
            <w:r>
              <w:rPr>
                <w:rFonts w:hint="eastAsia" w:ascii="黑体" w:hAnsi="黑体" w:eastAsia="黑体"/>
                <w:color w:val="000000"/>
                <w:lang w:val="en-US" w:eastAsia="zh-CN"/>
              </w:rPr>
              <w:t>31家</w:t>
            </w:r>
          </w:p>
        </w:tc>
        <w:tc>
          <w:tcPr>
            <w:tcW w:w="885" w:type="dxa"/>
            <w:vAlign w:val="center"/>
          </w:tcPr>
          <w:p>
            <w:pPr>
              <w:widowControl/>
              <w:spacing w:line="240" w:lineRule="atLeast"/>
              <w:jc w:val="both"/>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不少于备案企业的10%</w:t>
            </w:r>
          </w:p>
        </w:tc>
        <w:tc>
          <w:tcPr>
            <w:tcW w:w="1268" w:type="dxa"/>
            <w:vAlign w:val="center"/>
          </w:tcPr>
          <w:p>
            <w:pPr>
              <w:widowControl/>
              <w:spacing w:line="240" w:lineRule="atLeast"/>
              <w:jc w:val="center"/>
              <w:rPr>
                <w:rFonts w:hint="eastAsia" w:ascii="黑体" w:hAnsi="黑体" w:eastAsia="黑体"/>
                <w:color w:val="000000"/>
                <w:lang w:eastAsia="zh-CN"/>
              </w:rPr>
            </w:pPr>
            <w:r>
              <w:rPr>
                <w:rFonts w:hint="eastAsia" w:ascii="黑体" w:hAnsi="黑体" w:eastAsia="黑体"/>
                <w:color w:val="000000"/>
                <w:lang w:eastAsia="zh-CN"/>
              </w:rPr>
              <w:t>每年不少于</w:t>
            </w:r>
            <w:r>
              <w:rPr>
                <w:rFonts w:hint="eastAsia" w:ascii="黑体" w:hAnsi="黑体" w:eastAsia="黑体"/>
                <w:color w:val="000000"/>
                <w:lang w:val="en-US" w:eastAsia="zh-CN"/>
              </w:rPr>
              <w:t>2次</w:t>
            </w:r>
          </w:p>
        </w:tc>
        <w:tc>
          <w:tcPr>
            <w:tcW w:w="3051" w:type="dxa"/>
            <w:vAlign w:val="center"/>
          </w:tcPr>
          <w:p>
            <w:pPr>
              <w:widowControl/>
              <w:spacing w:line="240" w:lineRule="atLeast"/>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汽车销售及其相关服务活动实施情况进行监管</w:t>
            </w:r>
          </w:p>
        </w:tc>
        <w:tc>
          <w:tcPr>
            <w:tcW w:w="1284" w:type="dxa"/>
            <w:vAlign w:val="center"/>
          </w:tcPr>
          <w:p>
            <w:pPr>
              <w:widowControl/>
              <w:spacing w:line="240" w:lineRule="atLeast"/>
              <w:rPr>
                <w:rFonts w:hint="eastAsia" w:ascii="黑体" w:hAnsi="黑体" w:eastAsia="黑体"/>
                <w:color w:val="000000"/>
              </w:rPr>
            </w:pPr>
            <w:r>
              <w:rPr>
                <w:rFonts w:hint="eastAsia" w:ascii="黑体" w:hAnsi="黑体" w:eastAsia="黑体"/>
                <w:color w:val="000000"/>
                <w:kern w:val="2"/>
                <w:szCs w:val="24"/>
              </w:rPr>
              <w:t>随机抽查；现场监督检查</w:t>
            </w:r>
          </w:p>
        </w:tc>
        <w:tc>
          <w:tcPr>
            <w:tcW w:w="1445" w:type="dxa"/>
            <w:vAlign w:val="center"/>
          </w:tcPr>
          <w:p>
            <w:pPr>
              <w:widowControl/>
              <w:spacing w:line="240" w:lineRule="atLeast"/>
              <w:jc w:val="center"/>
              <w:rPr>
                <w:rFonts w:hint="eastAsia" w:ascii="黑体" w:hAnsi="黑体" w:eastAsia="黑体"/>
                <w:color w:val="000000"/>
              </w:rPr>
            </w:pPr>
            <w:r>
              <w:rPr>
                <w:rFonts w:hint="eastAsia" w:ascii="黑体" w:hAnsi="黑体" w:eastAsia="黑体"/>
                <w:color w:val="000000"/>
                <w:lang w:eastAsia="zh-CN"/>
              </w:rPr>
              <w:t>示范区经贸和安监局、杨陵区商务局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528" w:type="dxa"/>
            <w:vAlign w:val="center"/>
          </w:tcPr>
          <w:p>
            <w:pPr>
              <w:jc w:val="center"/>
              <w:rPr>
                <w:rFonts w:hint="eastAsia" w:ascii="黑体" w:hAnsi="黑体" w:eastAsia="黑体"/>
                <w:color w:val="000000"/>
                <w:lang w:eastAsia="zh-CN"/>
              </w:rPr>
            </w:pPr>
            <w:r>
              <w:rPr>
                <w:rFonts w:hint="eastAsia" w:ascii="黑体" w:hAnsi="黑体" w:eastAsia="黑体"/>
                <w:color w:val="000000"/>
                <w:lang w:val="en-US" w:eastAsia="zh-CN"/>
              </w:rPr>
              <w:t>2</w:t>
            </w:r>
          </w:p>
        </w:tc>
        <w:tc>
          <w:tcPr>
            <w:tcW w:w="1248" w:type="dxa"/>
            <w:vAlign w:val="center"/>
          </w:tcPr>
          <w:p>
            <w:pPr>
              <w:jc w:val="left"/>
              <w:rPr>
                <w:rFonts w:hint="eastAsia" w:ascii="黑体" w:hAnsi="黑体" w:eastAsia="黑体"/>
                <w:color w:val="000000"/>
              </w:rPr>
            </w:pPr>
            <w:r>
              <w:rPr>
                <w:rFonts w:hint="eastAsia" w:ascii="黑体" w:hAnsi="黑体" w:eastAsia="黑体"/>
                <w:color w:val="000000"/>
              </w:rPr>
              <w:t>二手车交易市场经营者和经营主体</w:t>
            </w:r>
            <w:r>
              <w:rPr>
                <w:rFonts w:ascii="黑体" w:hAnsi="黑体" w:eastAsia="黑体"/>
                <w:color w:val="000000"/>
              </w:rPr>
              <w:t>监管</w:t>
            </w:r>
          </w:p>
        </w:tc>
        <w:tc>
          <w:tcPr>
            <w:tcW w:w="4549" w:type="dxa"/>
            <w:vAlign w:val="center"/>
          </w:tcPr>
          <w:p>
            <w:pPr>
              <w:widowControl/>
              <w:spacing w:line="240" w:lineRule="atLeast"/>
              <w:rPr>
                <w:rFonts w:hint="eastAsia" w:ascii="黑体" w:hAnsi="黑体" w:eastAsia="黑体"/>
                <w:color w:val="000000"/>
              </w:rPr>
            </w:pPr>
            <w:r>
              <w:rPr>
                <w:rFonts w:hint="eastAsia" w:ascii="黑体" w:hAnsi="黑体" w:eastAsia="黑体"/>
                <w:color w:val="000000"/>
              </w:rPr>
              <w:t xml:space="preserve"> 《二手车流通管理办法》第三十五条：商务主管部门、工商行政管理部门应当在各自的职责范围内采取有效措施,加强对二手车交易市场经营者和经营主体的监督管理,依法查处违法违规行为,维护市场秩序,保护消费者的合法权益。</w:t>
            </w:r>
          </w:p>
        </w:tc>
        <w:tc>
          <w:tcPr>
            <w:tcW w:w="1666" w:type="dxa"/>
            <w:vAlign w:val="center"/>
          </w:tcPr>
          <w:p>
            <w:pPr>
              <w:spacing w:line="400" w:lineRule="exact"/>
              <w:jc w:val="both"/>
              <w:rPr>
                <w:rFonts w:hint="eastAsia" w:ascii="黑体" w:hAnsi="黑体" w:eastAsia="黑体"/>
                <w:color w:val="000000"/>
                <w:lang w:eastAsia="zh-CN"/>
              </w:rPr>
            </w:pPr>
            <w:r>
              <w:rPr>
                <w:rFonts w:hint="eastAsia" w:ascii="黑体" w:hAnsi="黑体" w:eastAsia="黑体"/>
                <w:color w:val="000000"/>
                <w:lang w:eastAsia="zh-CN"/>
              </w:rPr>
              <w:t>二手车市场</w:t>
            </w:r>
            <w:r>
              <w:rPr>
                <w:rFonts w:hint="eastAsia" w:ascii="黑体" w:hAnsi="黑体" w:eastAsia="黑体"/>
                <w:color w:val="000000"/>
                <w:lang w:val="en-US" w:eastAsia="zh-CN"/>
              </w:rPr>
              <w:t>2家，经销企业1家（备案1家，18家待核查），鉴定评估机构1家</w:t>
            </w:r>
          </w:p>
        </w:tc>
        <w:tc>
          <w:tcPr>
            <w:tcW w:w="885" w:type="dxa"/>
            <w:vAlign w:val="center"/>
          </w:tcPr>
          <w:p>
            <w:pPr>
              <w:widowControl/>
              <w:spacing w:line="240" w:lineRule="atLeast"/>
              <w:jc w:val="both"/>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不少于备案企业的10%</w:t>
            </w:r>
          </w:p>
        </w:tc>
        <w:tc>
          <w:tcPr>
            <w:tcW w:w="1268" w:type="dxa"/>
            <w:vAlign w:val="center"/>
          </w:tcPr>
          <w:p>
            <w:pPr>
              <w:jc w:val="center"/>
              <w:rPr>
                <w:rFonts w:hint="eastAsia" w:ascii="黑体" w:hAnsi="黑体" w:eastAsia="黑体"/>
                <w:color w:val="000000"/>
              </w:rPr>
            </w:pPr>
            <w:r>
              <w:rPr>
                <w:rFonts w:hint="eastAsia" w:ascii="黑体" w:hAnsi="黑体" w:eastAsia="黑体"/>
                <w:color w:val="000000"/>
              </w:rPr>
              <w:t>每年</w:t>
            </w:r>
            <w:r>
              <w:rPr>
                <w:rFonts w:hint="eastAsia" w:ascii="黑体" w:hAnsi="黑体" w:eastAsia="黑体"/>
                <w:color w:val="000000"/>
                <w:lang w:val="en-US" w:eastAsia="zh-CN"/>
              </w:rPr>
              <w:t>2次</w:t>
            </w:r>
          </w:p>
        </w:tc>
        <w:tc>
          <w:tcPr>
            <w:tcW w:w="3051" w:type="dxa"/>
            <w:vAlign w:val="center"/>
          </w:tcPr>
          <w:p>
            <w:pPr>
              <w:spacing w:line="400" w:lineRule="exact"/>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对二手车市场、经销、鉴定评估企业经营行为进行监管</w:t>
            </w:r>
          </w:p>
        </w:tc>
        <w:tc>
          <w:tcPr>
            <w:tcW w:w="1284" w:type="dxa"/>
            <w:vAlign w:val="center"/>
          </w:tcPr>
          <w:p>
            <w:pPr>
              <w:spacing w:line="400" w:lineRule="exact"/>
              <w:rPr>
                <w:rFonts w:hint="eastAsia" w:ascii="黑体" w:hAnsi="黑体" w:eastAsia="黑体"/>
                <w:color w:val="000000"/>
              </w:rPr>
            </w:pPr>
            <w:r>
              <w:rPr>
                <w:rFonts w:hint="eastAsia" w:ascii="黑体" w:hAnsi="黑体" w:eastAsia="黑体"/>
                <w:color w:val="000000"/>
              </w:rPr>
              <w:t>现场监督检查</w:t>
            </w:r>
          </w:p>
        </w:tc>
        <w:tc>
          <w:tcPr>
            <w:tcW w:w="1445" w:type="dxa"/>
            <w:vAlign w:val="center"/>
          </w:tcPr>
          <w:p>
            <w:pPr>
              <w:jc w:val="center"/>
              <w:rPr>
                <w:rFonts w:hint="eastAsia" w:ascii="黑体" w:hAnsi="黑体" w:eastAsia="黑体"/>
                <w:color w:val="000000"/>
                <w:lang w:eastAsia="zh-CN"/>
              </w:rPr>
            </w:pPr>
            <w:r>
              <w:rPr>
                <w:rFonts w:hint="eastAsia" w:ascii="黑体" w:hAnsi="黑体" w:eastAsia="黑体"/>
                <w:color w:val="000000"/>
                <w:lang w:eastAsia="zh-CN"/>
              </w:rPr>
              <w:t>示范区经贸和安监局、杨陵区商务局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28" w:type="dxa"/>
            <w:vAlign w:val="center"/>
          </w:tcPr>
          <w:p>
            <w:pPr>
              <w:jc w:val="center"/>
              <w:rPr>
                <w:rFonts w:hint="eastAsia" w:ascii="黑体" w:hAnsi="黑体" w:eastAsia="黑体"/>
                <w:color w:val="000000"/>
                <w:lang w:eastAsia="zh-CN"/>
              </w:rPr>
            </w:pPr>
            <w:r>
              <w:rPr>
                <w:rFonts w:hint="eastAsia" w:ascii="黑体" w:hAnsi="黑体" w:eastAsia="黑体"/>
                <w:color w:val="000000"/>
                <w:lang w:val="en-US" w:eastAsia="zh-CN"/>
              </w:rPr>
              <w:t>3</w:t>
            </w:r>
          </w:p>
        </w:tc>
        <w:tc>
          <w:tcPr>
            <w:tcW w:w="1248" w:type="dxa"/>
            <w:vAlign w:val="center"/>
          </w:tcPr>
          <w:p>
            <w:pPr>
              <w:jc w:val="left"/>
              <w:rPr>
                <w:rFonts w:hint="eastAsia" w:ascii="黑体" w:hAnsi="黑体" w:eastAsia="黑体"/>
                <w:color w:val="000000"/>
              </w:rPr>
            </w:pPr>
            <w:r>
              <w:rPr>
                <w:rFonts w:ascii="黑体" w:hAnsi="黑体" w:eastAsia="黑体"/>
                <w:color w:val="000000"/>
              </w:rPr>
              <w:t>报废汽车回收拆解监管</w:t>
            </w:r>
          </w:p>
        </w:tc>
        <w:tc>
          <w:tcPr>
            <w:tcW w:w="4549" w:type="dxa"/>
            <w:vAlign w:val="center"/>
          </w:tcPr>
          <w:p>
            <w:pPr>
              <w:widowControl/>
              <w:spacing w:line="240" w:lineRule="atLeast"/>
              <w:rPr>
                <w:rFonts w:hint="eastAsia" w:ascii="黑体" w:hAnsi="黑体" w:eastAsia="黑体"/>
                <w:color w:val="000000"/>
              </w:rPr>
            </w:pPr>
            <w:r>
              <w:rPr>
                <w:rFonts w:hint="eastAsia" w:ascii="黑体" w:hAnsi="黑体" w:eastAsia="黑体"/>
                <w:color w:val="000000"/>
              </w:rPr>
              <w:t>《报废汽车回收管理办法》第三条：县级以上地方各级人民政府经济贸易管理部门对本行政区域内报废汽车回收活动实施监督管理。</w:t>
            </w:r>
          </w:p>
        </w:tc>
        <w:tc>
          <w:tcPr>
            <w:tcW w:w="1666" w:type="dxa"/>
            <w:vAlign w:val="center"/>
          </w:tcPr>
          <w:p>
            <w:pPr>
              <w:spacing w:line="400" w:lineRule="exact"/>
              <w:jc w:val="center"/>
              <w:rPr>
                <w:rFonts w:hint="eastAsia" w:ascii="黑体" w:hAnsi="黑体" w:eastAsia="黑体"/>
                <w:color w:val="000000"/>
              </w:rPr>
            </w:pPr>
            <w:r>
              <w:rPr>
                <w:rFonts w:hint="eastAsia" w:ascii="黑体" w:hAnsi="黑体" w:eastAsia="黑体"/>
                <w:color w:val="000000"/>
              </w:rPr>
              <w:t>1家</w:t>
            </w:r>
          </w:p>
        </w:tc>
        <w:tc>
          <w:tcPr>
            <w:tcW w:w="885" w:type="dxa"/>
            <w:vAlign w:val="center"/>
          </w:tcPr>
          <w:p>
            <w:pPr>
              <w:pStyle w:val="4"/>
              <w:spacing w:line="400" w:lineRule="atLeast"/>
              <w:jc w:val="center"/>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不少于10%</w:t>
            </w:r>
          </w:p>
        </w:tc>
        <w:tc>
          <w:tcPr>
            <w:tcW w:w="1268" w:type="dxa"/>
            <w:vAlign w:val="center"/>
          </w:tcPr>
          <w:p>
            <w:pPr>
              <w:pStyle w:val="4"/>
              <w:spacing w:line="400" w:lineRule="atLeast"/>
              <w:jc w:val="center"/>
              <w:rPr>
                <w:rFonts w:ascii="黑体" w:hAnsi="黑体" w:eastAsia="黑体"/>
                <w:color w:val="000000"/>
                <w:kern w:val="2"/>
                <w:szCs w:val="24"/>
              </w:rPr>
            </w:pPr>
            <w:r>
              <w:rPr>
                <w:rFonts w:hint="eastAsia" w:ascii="黑体" w:hAnsi="黑体" w:eastAsia="黑体"/>
                <w:color w:val="000000"/>
                <w:kern w:val="2"/>
                <w:szCs w:val="24"/>
              </w:rPr>
              <w:t>每年2次</w:t>
            </w:r>
          </w:p>
        </w:tc>
        <w:tc>
          <w:tcPr>
            <w:tcW w:w="3051" w:type="dxa"/>
            <w:vAlign w:val="center"/>
          </w:tcPr>
          <w:p>
            <w:pPr>
              <w:spacing w:line="400" w:lineRule="exact"/>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对报废汽车回收、存储、运输、拆解、注销等环节进行监管。</w:t>
            </w:r>
          </w:p>
        </w:tc>
        <w:tc>
          <w:tcPr>
            <w:tcW w:w="1284" w:type="dxa"/>
            <w:vAlign w:val="center"/>
          </w:tcPr>
          <w:p>
            <w:pPr>
              <w:spacing w:line="400" w:lineRule="exact"/>
              <w:rPr>
                <w:rFonts w:hint="eastAsia" w:ascii="黑体" w:hAnsi="黑体" w:eastAsia="黑体"/>
                <w:color w:val="000000"/>
              </w:rPr>
            </w:pPr>
            <w:r>
              <w:rPr>
                <w:rFonts w:hint="eastAsia" w:ascii="黑体" w:hAnsi="黑体" w:eastAsia="黑体"/>
                <w:color w:val="000000"/>
              </w:rPr>
              <w:t>现场监督检查</w:t>
            </w:r>
          </w:p>
        </w:tc>
        <w:tc>
          <w:tcPr>
            <w:tcW w:w="1445" w:type="dxa"/>
            <w:vAlign w:val="center"/>
          </w:tcPr>
          <w:p>
            <w:pPr>
              <w:jc w:val="center"/>
              <w:rPr>
                <w:rFonts w:hint="eastAsia" w:ascii="黑体" w:hAnsi="黑体" w:eastAsia="黑体"/>
                <w:color w:val="000000"/>
              </w:rPr>
            </w:pPr>
            <w:r>
              <w:rPr>
                <w:rFonts w:hint="eastAsia" w:ascii="黑体" w:hAnsi="黑体" w:eastAsia="黑体"/>
                <w:color w:val="000000"/>
                <w:lang w:eastAsia="zh-CN"/>
              </w:rPr>
              <w:t>示范区经贸和安监局、杨陵区商务局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528" w:type="dxa"/>
            <w:vAlign w:val="center"/>
          </w:tcPr>
          <w:p>
            <w:pPr>
              <w:jc w:val="center"/>
              <w:rPr>
                <w:rFonts w:hint="eastAsia" w:ascii="黑体" w:hAnsi="黑体" w:eastAsia="黑体"/>
                <w:color w:val="000000"/>
              </w:rPr>
            </w:pPr>
            <w:r>
              <w:rPr>
                <w:rFonts w:hint="eastAsia" w:ascii="黑体" w:hAnsi="黑体" w:eastAsia="黑体"/>
                <w:color w:val="000000"/>
              </w:rPr>
              <w:t>4</w:t>
            </w:r>
          </w:p>
        </w:tc>
        <w:tc>
          <w:tcPr>
            <w:tcW w:w="1248" w:type="dxa"/>
            <w:vAlign w:val="center"/>
          </w:tcPr>
          <w:p>
            <w:pPr>
              <w:jc w:val="left"/>
              <w:rPr>
                <w:rFonts w:hint="eastAsia" w:ascii="黑体" w:hAnsi="黑体" w:eastAsia="黑体"/>
                <w:color w:val="000000"/>
              </w:rPr>
            </w:pPr>
            <w:r>
              <w:rPr>
                <w:rFonts w:ascii="黑体" w:hAnsi="黑体" w:eastAsia="黑体"/>
                <w:color w:val="000000"/>
              </w:rPr>
              <w:t>成品油市场监管</w:t>
            </w:r>
          </w:p>
        </w:tc>
        <w:tc>
          <w:tcPr>
            <w:tcW w:w="4549" w:type="dxa"/>
            <w:vAlign w:val="center"/>
          </w:tcPr>
          <w:p>
            <w:pPr>
              <w:pStyle w:val="4"/>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《成品油市场管理办法》（2006年11月16日通过，2007年1月1日起实施）第三十条：各级人民政府商务主管部门应当加强对本辖区成品油市场的监督检查，及时对成品油经营企业的违法违规行为进行查处。</w:t>
            </w:r>
          </w:p>
        </w:tc>
        <w:tc>
          <w:tcPr>
            <w:tcW w:w="1666" w:type="dxa"/>
            <w:vAlign w:val="center"/>
          </w:tcPr>
          <w:p>
            <w:pPr>
              <w:pStyle w:val="4"/>
              <w:spacing w:line="400" w:lineRule="atLeast"/>
              <w:ind w:firstLine="105" w:firstLineChars="50"/>
              <w:jc w:val="center"/>
              <w:rPr>
                <w:rFonts w:ascii="黑体" w:hAnsi="黑体" w:eastAsia="黑体"/>
                <w:color w:val="000000"/>
                <w:kern w:val="2"/>
                <w:szCs w:val="24"/>
              </w:rPr>
            </w:pPr>
            <w:r>
              <w:rPr>
                <w:rFonts w:hint="eastAsia" w:ascii="黑体" w:hAnsi="黑体" w:eastAsia="黑体"/>
                <w:color w:val="000000"/>
                <w:kern w:val="2"/>
                <w:szCs w:val="24"/>
                <w:lang w:val="en-US" w:eastAsia="zh-CN"/>
              </w:rPr>
              <w:t>8</w:t>
            </w:r>
            <w:r>
              <w:rPr>
                <w:rFonts w:hint="eastAsia" w:ascii="黑体" w:hAnsi="黑体" w:eastAsia="黑体"/>
                <w:color w:val="000000"/>
                <w:kern w:val="2"/>
                <w:szCs w:val="24"/>
              </w:rPr>
              <w:t>家</w:t>
            </w:r>
          </w:p>
        </w:tc>
        <w:tc>
          <w:tcPr>
            <w:tcW w:w="885" w:type="dxa"/>
            <w:vAlign w:val="center"/>
          </w:tcPr>
          <w:p>
            <w:pPr>
              <w:pStyle w:val="4"/>
              <w:spacing w:line="400" w:lineRule="atLeast"/>
              <w:jc w:val="center"/>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不少于2家</w:t>
            </w:r>
          </w:p>
        </w:tc>
        <w:tc>
          <w:tcPr>
            <w:tcW w:w="1268" w:type="dxa"/>
            <w:vAlign w:val="center"/>
          </w:tcPr>
          <w:p>
            <w:pPr>
              <w:pStyle w:val="4"/>
              <w:spacing w:line="400" w:lineRule="atLeast"/>
              <w:jc w:val="center"/>
              <w:rPr>
                <w:rFonts w:ascii="黑体" w:hAnsi="黑体" w:eastAsia="黑体"/>
                <w:color w:val="000000"/>
                <w:kern w:val="2"/>
                <w:szCs w:val="24"/>
              </w:rPr>
            </w:pPr>
            <w:r>
              <w:rPr>
                <w:rFonts w:hint="eastAsia" w:ascii="黑体" w:hAnsi="黑体" w:eastAsia="黑体"/>
                <w:color w:val="000000"/>
                <w:lang w:eastAsia="zh-CN"/>
              </w:rPr>
              <w:t>每年不少于</w:t>
            </w:r>
            <w:r>
              <w:rPr>
                <w:rFonts w:hint="eastAsia" w:ascii="黑体" w:hAnsi="黑体" w:eastAsia="黑体"/>
                <w:color w:val="000000"/>
                <w:lang w:val="en-US" w:eastAsia="zh-CN"/>
              </w:rPr>
              <w:t>2次</w:t>
            </w:r>
          </w:p>
        </w:tc>
        <w:tc>
          <w:tcPr>
            <w:tcW w:w="3051" w:type="dxa"/>
            <w:vAlign w:val="center"/>
          </w:tcPr>
          <w:p>
            <w:pPr>
              <w:pStyle w:val="4"/>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对成品油供油协议的签订、执行情况；企业成品油经营状况；成品油经营企业及其基础设施是否符合有关规定及技术规范要求；质量、计量、消防、安全、环保等方面情况进行监督管理。</w:t>
            </w:r>
          </w:p>
        </w:tc>
        <w:tc>
          <w:tcPr>
            <w:tcW w:w="1284" w:type="dxa"/>
            <w:vAlign w:val="center"/>
          </w:tcPr>
          <w:p>
            <w:pPr>
              <w:pStyle w:val="4"/>
              <w:spacing w:line="400" w:lineRule="atLeast"/>
              <w:rPr>
                <w:rFonts w:ascii="黑体" w:hAnsi="黑体" w:eastAsia="黑体"/>
                <w:color w:val="000000"/>
                <w:kern w:val="2"/>
                <w:szCs w:val="24"/>
              </w:rPr>
            </w:pPr>
            <w:r>
              <w:rPr>
                <w:rFonts w:hint="eastAsia" w:ascii="黑体" w:hAnsi="黑体" w:eastAsia="黑体"/>
                <w:color w:val="000000"/>
                <w:kern w:val="2"/>
                <w:szCs w:val="24"/>
              </w:rPr>
              <w:t>随机抽查；现场监督检查</w:t>
            </w:r>
          </w:p>
        </w:tc>
        <w:tc>
          <w:tcPr>
            <w:tcW w:w="1445" w:type="dxa"/>
            <w:vAlign w:val="center"/>
          </w:tcPr>
          <w:p>
            <w:pPr>
              <w:pStyle w:val="4"/>
              <w:spacing w:line="400" w:lineRule="atLeast"/>
              <w:jc w:val="center"/>
              <w:rPr>
                <w:rFonts w:ascii="黑体" w:hAnsi="黑体" w:eastAsia="黑体"/>
                <w:color w:val="000000"/>
                <w:kern w:val="2"/>
                <w:szCs w:val="24"/>
              </w:rPr>
            </w:pPr>
            <w:r>
              <w:rPr>
                <w:rFonts w:hint="eastAsia" w:ascii="黑体" w:hAnsi="黑体" w:eastAsia="黑体"/>
                <w:color w:val="000000"/>
                <w:lang w:eastAsia="zh-CN"/>
              </w:rPr>
              <w:t>示范区经贸和安监局、杨陵区商务局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1" w:hRule="atLeast"/>
          <w:jc w:val="center"/>
        </w:trPr>
        <w:tc>
          <w:tcPr>
            <w:tcW w:w="528" w:type="dxa"/>
            <w:vAlign w:val="center"/>
          </w:tcPr>
          <w:p>
            <w:pPr>
              <w:jc w:val="center"/>
              <w:rPr>
                <w:rFonts w:hint="eastAsia" w:ascii="黑体" w:hAnsi="黑体" w:eastAsia="黑体"/>
                <w:color w:val="000000"/>
              </w:rPr>
            </w:pPr>
            <w:r>
              <w:rPr>
                <w:rFonts w:hint="eastAsia" w:ascii="黑体" w:hAnsi="黑体" w:eastAsia="黑体"/>
                <w:color w:val="000000"/>
              </w:rPr>
              <w:t>5</w:t>
            </w:r>
          </w:p>
        </w:tc>
        <w:tc>
          <w:tcPr>
            <w:tcW w:w="1248" w:type="dxa"/>
            <w:vAlign w:val="center"/>
          </w:tcPr>
          <w:p>
            <w:pPr>
              <w:rPr>
                <w:rFonts w:hint="eastAsia" w:ascii="黑体" w:hAnsi="黑体" w:eastAsia="黑体"/>
                <w:color w:val="000000"/>
              </w:rPr>
            </w:pPr>
            <w:r>
              <w:rPr>
                <w:rFonts w:hint="eastAsia" w:ascii="黑体" w:hAnsi="黑体" w:eastAsia="黑体"/>
                <w:color w:val="000000"/>
              </w:rPr>
              <w:t>单</w:t>
            </w:r>
            <w:r>
              <w:rPr>
                <w:rFonts w:ascii="黑体" w:hAnsi="黑体" w:eastAsia="黑体"/>
                <w:color w:val="000000"/>
              </w:rPr>
              <w:t>用途商业预付卡监管</w:t>
            </w:r>
          </w:p>
        </w:tc>
        <w:tc>
          <w:tcPr>
            <w:tcW w:w="4549" w:type="dxa"/>
            <w:vAlign w:val="center"/>
          </w:tcPr>
          <w:p>
            <w:pPr>
              <w:pStyle w:val="4"/>
              <w:spacing w:line="240" w:lineRule="atLeast"/>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《单用途商业预付卡管理办法（试行）》（2012年8月24日通过，2012年11月1日起施行）第五条： 商务部负责全国单用途卡行业管理工作。县级以上地方人民政府商务主管部门负责本行政区域内单用途卡监督管理工作。</w:t>
            </w:r>
          </w:p>
        </w:tc>
        <w:tc>
          <w:tcPr>
            <w:tcW w:w="1666" w:type="dxa"/>
            <w:vAlign w:val="center"/>
          </w:tcPr>
          <w:p>
            <w:pPr>
              <w:pStyle w:val="4"/>
              <w:spacing w:line="400" w:lineRule="atLeast"/>
              <w:ind w:firstLine="210" w:firstLineChars="100"/>
              <w:jc w:val="center"/>
              <w:rPr>
                <w:rFonts w:hint="eastAsia" w:ascii="黑体" w:hAnsi="黑体" w:eastAsia="黑体"/>
                <w:color w:val="000000"/>
                <w:kern w:val="2"/>
                <w:szCs w:val="24"/>
                <w:lang w:val="en-US" w:eastAsia="zh-CN"/>
              </w:rPr>
            </w:pPr>
            <w:r>
              <w:rPr>
                <w:rFonts w:hint="eastAsia" w:ascii="黑体" w:hAnsi="黑体" w:eastAsia="黑体"/>
                <w:color w:val="000000"/>
                <w:kern w:val="2"/>
                <w:szCs w:val="24"/>
                <w:lang w:val="en-US" w:eastAsia="zh-CN"/>
              </w:rPr>
              <w:t>3家</w:t>
            </w:r>
          </w:p>
        </w:tc>
        <w:tc>
          <w:tcPr>
            <w:tcW w:w="885" w:type="dxa"/>
            <w:vAlign w:val="center"/>
          </w:tcPr>
          <w:p>
            <w:pPr>
              <w:pStyle w:val="4"/>
              <w:spacing w:line="400" w:lineRule="atLeast"/>
              <w:rPr>
                <w:rFonts w:ascii="黑体" w:hAnsi="黑体" w:eastAsia="黑体"/>
                <w:color w:val="000000"/>
                <w:kern w:val="2"/>
                <w:szCs w:val="24"/>
              </w:rPr>
            </w:pPr>
            <w:r>
              <w:rPr>
                <w:rFonts w:ascii="黑体" w:hAnsi="黑体" w:eastAsia="黑体"/>
                <w:color w:val="000000"/>
                <w:kern w:val="2"/>
                <w:szCs w:val="24"/>
              </w:rPr>
              <w:t>不少于</w:t>
            </w:r>
            <w:r>
              <w:rPr>
                <w:rFonts w:hint="eastAsia" w:ascii="黑体" w:hAnsi="黑体" w:eastAsia="黑体"/>
                <w:color w:val="000000"/>
                <w:kern w:val="2"/>
                <w:szCs w:val="24"/>
                <w:lang w:val="en-US" w:eastAsia="zh-CN"/>
              </w:rPr>
              <w:t>1家</w:t>
            </w:r>
          </w:p>
        </w:tc>
        <w:tc>
          <w:tcPr>
            <w:tcW w:w="1268" w:type="dxa"/>
            <w:vAlign w:val="center"/>
          </w:tcPr>
          <w:p>
            <w:pPr>
              <w:pStyle w:val="4"/>
              <w:spacing w:line="400" w:lineRule="atLeast"/>
              <w:rPr>
                <w:rFonts w:ascii="黑体" w:hAnsi="黑体" w:eastAsia="黑体"/>
                <w:color w:val="000000"/>
                <w:kern w:val="2"/>
                <w:szCs w:val="24"/>
              </w:rPr>
            </w:pPr>
            <w:r>
              <w:rPr>
                <w:rFonts w:hint="eastAsia" w:ascii="黑体" w:hAnsi="黑体" w:eastAsia="黑体"/>
                <w:color w:val="000000"/>
                <w:kern w:val="2"/>
                <w:szCs w:val="24"/>
              </w:rPr>
              <w:t>每年不少于2次</w:t>
            </w:r>
          </w:p>
        </w:tc>
        <w:tc>
          <w:tcPr>
            <w:tcW w:w="3051" w:type="dxa"/>
            <w:vAlign w:val="center"/>
          </w:tcPr>
          <w:p>
            <w:pPr>
              <w:pStyle w:val="4"/>
              <w:spacing w:line="400" w:lineRule="atLeast"/>
              <w:rPr>
                <w:rFonts w:hint="eastAsia" w:ascii="黑体" w:hAnsi="黑体" w:eastAsia="黑体"/>
                <w:color w:val="000000"/>
                <w:kern w:val="2"/>
                <w:sz w:val="21"/>
                <w:szCs w:val="24"/>
                <w:lang w:eastAsia="zh-CN"/>
              </w:rPr>
            </w:pPr>
            <w:r>
              <w:rPr>
                <w:rFonts w:hint="eastAsia" w:ascii="黑体" w:hAnsi="黑体" w:eastAsia="黑体"/>
                <w:color w:val="000000"/>
                <w:kern w:val="2"/>
                <w:sz w:val="21"/>
                <w:szCs w:val="24"/>
                <w:lang w:eastAsia="zh-CN"/>
              </w:rPr>
              <w:t>对发卡企业和售卡企业的单用途卡业务活动、内部控制和风险状况等进行定期或不定期的现场及非现场检查。</w:t>
            </w:r>
          </w:p>
        </w:tc>
        <w:tc>
          <w:tcPr>
            <w:tcW w:w="1284" w:type="dxa"/>
            <w:vAlign w:val="center"/>
          </w:tcPr>
          <w:p>
            <w:pPr>
              <w:pStyle w:val="4"/>
              <w:spacing w:line="400" w:lineRule="atLeast"/>
              <w:rPr>
                <w:rFonts w:ascii="黑体" w:hAnsi="黑体" w:eastAsia="黑体"/>
                <w:color w:val="000000"/>
                <w:kern w:val="2"/>
                <w:szCs w:val="24"/>
              </w:rPr>
            </w:pPr>
            <w:r>
              <w:rPr>
                <w:rFonts w:hint="eastAsia" w:ascii="黑体" w:hAnsi="黑体" w:eastAsia="黑体"/>
                <w:color w:val="000000"/>
                <w:kern w:val="2"/>
                <w:szCs w:val="24"/>
              </w:rPr>
              <w:t>随机抽查；现场监督检查</w:t>
            </w:r>
          </w:p>
        </w:tc>
        <w:tc>
          <w:tcPr>
            <w:tcW w:w="1445" w:type="dxa"/>
            <w:vAlign w:val="center"/>
          </w:tcPr>
          <w:p>
            <w:pPr>
              <w:pStyle w:val="4"/>
              <w:spacing w:line="400" w:lineRule="atLeast"/>
              <w:jc w:val="center"/>
              <w:rPr>
                <w:rFonts w:ascii="黑体" w:hAnsi="黑体" w:eastAsia="黑体"/>
                <w:color w:val="000000"/>
                <w:kern w:val="2"/>
                <w:szCs w:val="24"/>
              </w:rPr>
            </w:pPr>
            <w:r>
              <w:rPr>
                <w:rFonts w:hint="eastAsia" w:ascii="黑体" w:hAnsi="黑体" w:eastAsia="黑体"/>
                <w:color w:val="000000"/>
                <w:lang w:eastAsia="zh-CN"/>
              </w:rPr>
              <w:t>示范区经贸和安监局、杨陵区商务局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jc w:val="center"/>
        </w:trPr>
        <w:tc>
          <w:tcPr>
            <w:tcW w:w="528" w:type="dxa"/>
            <w:vAlign w:val="center"/>
          </w:tcPr>
          <w:p>
            <w:pPr>
              <w:jc w:val="center"/>
              <w:rPr>
                <w:rFonts w:hint="eastAsia" w:ascii="黑体" w:hAnsi="黑体" w:eastAsia="黑体"/>
                <w:color w:val="000000"/>
                <w:lang w:val="en-US" w:eastAsia="zh-CN"/>
              </w:rPr>
            </w:pPr>
            <w:r>
              <w:rPr>
                <w:rFonts w:hint="eastAsia" w:ascii="黑体" w:hAnsi="黑体" w:eastAsia="黑体"/>
                <w:color w:val="000000"/>
                <w:lang w:val="en-US" w:eastAsia="zh-CN"/>
              </w:rPr>
              <w:t>6</w:t>
            </w:r>
          </w:p>
        </w:tc>
        <w:tc>
          <w:tcPr>
            <w:tcW w:w="1248" w:type="dxa"/>
            <w:vAlign w:val="center"/>
          </w:tcPr>
          <w:p>
            <w:pPr>
              <w:rPr>
                <w:rFonts w:hint="eastAsia" w:ascii="黑体" w:hAnsi="黑体" w:eastAsia="黑体"/>
                <w:color w:val="000000"/>
              </w:rPr>
            </w:pPr>
            <w:r>
              <w:rPr>
                <w:rFonts w:hint="eastAsia" w:ascii="黑体" w:hAnsi="黑体" w:eastAsia="黑体"/>
                <w:color w:val="000000"/>
                <w:lang w:eastAsia="zh-CN"/>
              </w:rPr>
              <w:t>拍卖业监管</w:t>
            </w:r>
          </w:p>
        </w:tc>
        <w:tc>
          <w:tcPr>
            <w:tcW w:w="4549" w:type="dxa"/>
            <w:vAlign w:val="center"/>
          </w:tcPr>
          <w:p>
            <w:pPr>
              <w:pStyle w:val="4"/>
              <w:spacing w:line="240" w:lineRule="atLeast"/>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《拍卖法》（中华人民共和国主席令第二十三号，2004年8月）第五条：省、自治区、直辖市的人民政府和设区的市的人民政府负责管理拍卖业的部门对本行政区域内的拍卖业实施监督管理。　</w:t>
            </w:r>
          </w:p>
        </w:tc>
        <w:tc>
          <w:tcPr>
            <w:tcW w:w="1666" w:type="dxa"/>
            <w:vAlign w:val="center"/>
          </w:tcPr>
          <w:p>
            <w:pPr>
              <w:pStyle w:val="4"/>
              <w:spacing w:line="400" w:lineRule="atLeast"/>
              <w:ind w:firstLine="210" w:firstLineChars="100"/>
              <w:jc w:val="center"/>
              <w:rPr>
                <w:rFonts w:hint="eastAsia" w:ascii="黑体" w:hAnsi="黑体" w:eastAsia="黑体"/>
                <w:color w:val="000000"/>
                <w:kern w:val="2"/>
                <w:szCs w:val="24"/>
                <w:lang w:val="en-US" w:eastAsia="zh-CN"/>
              </w:rPr>
            </w:pPr>
            <w:r>
              <w:rPr>
                <w:rFonts w:hint="eastAsia" w:ascii="黑体" w:hAnsi="黑体" w:eastAsia="黑体"/>
                <w:color w:val="000000"/>
                <w:kern w:val="2"/>
                <w:szCs w:val="24"/>
                <w:lang w:val="en-US" w:eastAsia="zh-CN"/>
              </w:rPr>
              <w:t>2家</w:t>
            </w:r>
          </w:p>
        </w:tc>
        <w:tc>
          <w:tcPr>
            <w:tcW w:w="885" w:type="dxa"/>
            <w:vAlign w:val="center"/>
          </w:tcPr>
          <w:p>
            <w:pPr>
              <w:pStyle w:val="4"/>
              <w:spacing w:line="400" w:lineRule="atLeast"/>
              <w:rPr>
                <w:rFonts w:hint="eastAsia" w:ascii="黑体" w:hAnsi="黑体" w:eastAsia="黑体"/>
                <w:color w:val="000000"/>
                <w:kern w:val="2"/>
                <w:szCs w:val="24"/>
              </w:rPr>
            </w:pPr>
            <w:r>
              <w:rPr>
                <w:rFonts w:ascii="黑体" w:hAnsi="黑体" w:eastAsia="黑体"/>
                <w:color w:val="000000"/>
                <w:kern w:val="2"/>
                <w:szCs w:val="24"/>
              </w:rPr>
              <w:t>不少于</w:t>
            </w:r>
            <w:r>
              <w:rPr>
                <w:rFonts w:hint="eastAsia" w:ascii="黑体" w:hAnsi="黑体" w:eastAsia="黑体"/>
                <w:color w:val="000000"/>
                <w:kern w:val="2"/>
                <w:szCs w:val="24"/>
                <w:lang w:val="en-US" w:eastAsia="zh-CN"/>
              </w:rPr>
              <w:t>1家</w:t>
            </w:r>
          </w:p>
        </w:tc>
        <w:tc>
          <w:tcPr>
            <w:tcW w:w="1268" w:type="dxa"/>
            <w:vAlign w:val="center"/>
          </w:tcPr>
          <w:p>
            <w:pPr>
              <w:pStyle w:val="4"/>
              <w:spacing w:line="400" w:lineRule="atLeast"/>
              <w:rPr>
                <w:rFonts w:hint="eastAsia" w:ascii="黑体" w:hAnsi="黑体" w:eastAsia="黑体"/>
                <w:color w:val="000000"/>
                <w:kern w:val="2"/>
                <w:szCs w:val="24"/>
              </w:rPr>
            </w:pPr>
            <w:r>
              <w:rPr>
                <w:rFonts w:hint="eastAsia" w:ascii="黑体" w:hAnsi="黑体" w:eastAsia="黑体"/>
                <w:color w:val="000000"/>
                <w:kern w:val="2"/>
                <w:szCs w:val="24"/>
              </w:rPr>
              <w:t>每年不少于2次</w:t>
            </w:r>
          </w:p>
        </w:tc>
        <w:tc>
          <w:tcPr>
            <w:tcW w:w="3051" w:type="dxa"/>
            <w:vAlign w:val="center"/>
          </w:tcPr>
          <w:p>
            <w:pPr>
              <w:pStyle w:val="4"/>
              <w:spacing w:line="400" w:lineRule="atLeast"/>
              <w:rPr>
                <w:rFonts w:hint="eastAsia" w:ascii="黑体" w:hAnsi="黑体" w:eastAsia="黑体"/>
                <w:color w:val="000000"/>
                <w:kern w:val="2"/>
                <w:sz w:val="21"/>
                <w:szCs w:val="24"/>
                <w:lang w:eastAsia="zh-CN"/>
              </w:rPr>
            </w:pPr>
            <w:r>
              <w:rPr>
                <w:rFonts w:hint="eastAsia" w:ascii="黑体" w:hAnsi="黑体" w:eastAsia="黑体"/>
                <w:color w:val="000000"/>
                <w:kern w:val="2"/>
                <w:sz w:val="21"/>
                <w:szCs w:val="24"/>
                <w:lang w:eastAsia="zh-CN"/>
              </w:rPr>
              <w:t>对拍卖企业设立条件进行复核，对企业年度经营情况进行检查。</w:t>
            </w:r>
          </w:p>
        </w:tc>
        <w:tc>
          <w:tcPr>
            <w:tcW w:w="1284" w:type="dxa"/>
            <w:vAlign w:val="center"/>
          </w:tcPr>
          <w:p>
            <w:pPr>
              <w:pStyle w:val="4"/>
              <w:spacing w:line="400" w:lineRule="atLeast"/>
              <w:rPr>
                <w:rFonts w:hint="eastAsia" w:ascii="黑体" w:hAnsi="黑体" w:eastAsia="黑体"/>
                <w:color w:val="000000"/>
                <w:kern w:val="2"/>
                <w:szCs w:val="24"/>
              </w:rPr>
            </w:pPr>
            <w:r>
              <w:rPr>
                <w:rFonts w:hint="eastAsia" w:ascii="黑体" w:hAnsi="黑体" w:eastAsia="黑体"/>
                <w:color w:val="000000"/>
                <w:kern w:val="2"/>
                <w:szCs w:val="24"/>
              </w:rPr>
              <w:t>随机抽查；现场监督检查</w:t>
            </w:r>
          </w:p>
        </w:tc>
        <w:tc>
          <w:tcPr>
            <w:tcW w:w="1445" w:type="dxa"/>
            <w:vAlign w:val="center"/>
          </w:tcPr>
          <w:p>
            <w:pPr>
              <w:pStyle w:val="4"/>
              <w:spacing w:line="400" w:lineRule="atLeast"/>
              <w:jc w:val="center"/>
              <w:rPr>
                <w:rFonts w:hint="eastAsia" w:ascii="黑体" w:hAnsi="黑体" w:eastAsia="黑体"/>
                <w:color w:val="000000"/>
                <w:lang w:eastAsia="zh-CN"/>
              </w:rPr>
            </w:pPr>
            <w:r>
              <w:rPr>
                <w:rFonts w:hint="eastAsia" w:ascii="黑体" w:hAnsi="黑体" w:eastAsia="黑体"/>
                <w:color w:val="000000"/>
                <w:lang w:eastAsia="zh-CN"/>
              </w:rPr>
              <w:t>示范区经贸和安监局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528" w:type="dxa"/>
            <w:vAlign w:val="center"/>
          </w:tcPr>
          <w:p>
            <w:pPr>
              <w:jc w:val="center"/>
              <w:rPr>
                <w:rFonts w:hint="eastAsia" w:ascii="黑体" w:hAnsi="黑体" w:eastAsia="黑体"/>
                <w:color w:val="000000"/>
                <w:lang w:val="en-US" w:eastAsia="zh-CN"/>
              </w:rPr>
            </w:pPr>
            <w:r>
              <w:rPr>
                <w:rFonts w:hint="eastAsia" w:ascii="黑体" w:hAnsi="黑体" w:eastAsia="黑体"/>
                <w:color w:val="000000"/>
              </w:rPr>
              <w:t>7</w:t>
            </w:r>
          </w:p>
        </w:tc>
        <w:tc>
          <w:tcPr>
            <w:tcW w:w="1248" w:type="dxa"/>
            <w:vAlign w:val="center"/>
          </w:tcPr>
          <w:p>
            <w:pPr>
              <w:rPr>
                <w:rFonts w:hint="eastAsia" w:ascii="黑体" w:hAnsi="黑体" w:eastAsia="黑体"/>
                <w:color w:val="000000"/>
                <w:lang w:eastAsia="zh-CN"/>
              </w:rPr>
            </w:pPr>
            <w:r>
              <w:rPr>
                <w:rFonts w:hint="eastAsia" w:ascii="黑体" w:hAnsi="黑体" w:eastAsia="黑体" w:cs="Times New Roman"/>
                <w:color w:val="000000"/>
                <w:kern w:val="2"/>
                <w:sz w:val="21"/>
                <w:szCs w:val="24"/>
                <w:lang w:val="en-US" w:eastAsia="zh-CN" w:bidi="ar-SA"/>
              </w:rPr>
              <w:t>再生资源监管</w:t>
            </w:r>
          </w:p>
        </w:tc>
        <w:tc>
          <w:tcPr>
            <w:tcW w:w="4549" w:type="dxa"/>
            <w:vAlign w:val="center"/>
          </w:tcPr>
          <w:p>
            <w:pPr>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b w:val="0"/>
                <w:bCs w:val="0"/>
                <w:color w:val="000000"/>
                <w:kern w:val="2"/>
                <w:sz w:val="21"/>
                <w:szCs w:val="24"/>
                <w:lang w:val="en-US" w:eastAsia="zh-CN" w:bidi="ar-SA"/>
              </w:rPr>
              <w:t>《再生资源回收管理办法》　第十五条　商务主管部门是再生资源回收的行业主管部门，负责制定和实施再生资源回收产业政策、回收标准和回收行业发展规划。</w:t>
            </w:r>
          </w:p>
        </w:tc>
        <w:tc>
          <w:tcPr>
            <w:tcW w:w="1666" w:type="dxa"/>
            <w:vAlign w:val="center"/>
          </w:tcPr>
          <w:p>
            <w:pPr>
              <w:jc w:val="center"/>
              <w:rPr>
                <w:rFonts w:hint="eastAsia" w:ascii="黑体" w:hAnsi="黑体" w:eastAsia="黑体"/>
                <w:color w:val="000000"/>
                <w:kern w:val="2"/>
                <w:szCs w:val="24"/>
                <w:lang w:val="en-US" w:eastAsia="zh-CN"/>
              </w:rPr>
            </w:pPr>
            <w:r>
              <w:rPr>
                <w:rFonts w:hint="eastAsia" w:ascii="黑体" w:hAnsi="黑体" w:eastAsia="黑体"/>
                <w:color w:val="000000"/>
                <w:lang w:eastAsia="zh-CN"/>
              </w:rPr>
              <w:t>数量待核查</w:t>
            </w:r>
          </w:p>
        </w:tc>
        <w:tc>
          <w:tcPr>
            <w:tcW w:w="885" w:type="dxa"/>
            <w:vAlign w:val="center"/>
          </w:tcPr>
          <w:p>
            <w:pPr>
              <w:jc w:val="center"/>
              <w:rPr>
                <w:rFonts w:ascii="黑体" w:hAnsi="黑体" w:eastAsia="黑体"/>
                <w:color w:val="000000"/>
                <w:kern w:val="2"/>
                <w:szCs w:val="24"/>
              </w:rPr>
            </w:pPr>
            <w:r>
              <w:rPr>
                <w:rFonts w:hint="eastAsia" w:ascii="黑体" w:hAnsi="黑体" w:eastAsia="黑体"/>
                <w:color w:val="000000"/>
              </w:rPr>
              <w:t>不少于</w:t>
            </w:r>
            <w:r>
              <w:rPr>
                <w:rFonts w:hint="eastAsia" w:ascii="黑体" w:hAnsi="黑体" w:eastAsia="黑体"/>
                <w:color w:val="000000"/>
                <w:lang w:val="en-US" w:eastAsia="zh-CN"/>
              </w:rPr>
              <w:t>10</w:t>
            </w:r>
            <w:r>
              <w:rPr>
                <w:rFonts w:hint="eastAsia" w:ascii="黑体" w:hAnsi="黑体" w:eastAsia="黑体"/>
                <w:color w:val="000000"/>
              </w:rPr>
              <w:t>％</w:t>
            </w:r>
          </w:p>
        </w:tc>
        <w:tc>
          <w:tcPr>
            <w:tcW w:w="1268" w:type="dxa"/>
            <w:vAlign w:val="center"/>
          </w:tcPr>
          <w:p>
            <w:pPr>
              <w:rPr>
                <w:rFonts w:hint="eastAsia" w:ascii="黑体" w:hAnsi="黑体" w:eastAsia="黑体"/>
                <w:color w:val="000000"/>
                <w:kern w:val="2"/>
                <w:szCs w:val="24"/>
              </w:rPr>
            </w:pPr>
            <w:r>
              <w:rPr>
                <w:rFonts w:hint="eastAsia" w:ascii="黑体" w:hAnsi="黑体" w:eastAsia="黑体"/>
                <w:color w:val="000000"/>
                <w:kern w:val="2"/>
                <w:szCs w:val="24"/>
              </w:rPr>
              <w:t>每年不少于2次</w:t>
            </w:r>
          </w:p>
        </w:tc>
        <w:tc>
          <w:tcPr>
            <w:tcW w:w="3051" w:type="dxa"/>
            <w:vAlign w:val="center"/>
          </w:tcPr>
          <w:p>
            <w:pPr>
              <w:shd w:val="clear" w:color="auto" w:fill="FFFFFF"/>
              <w:rPr>
                <w:rFonts w:hint="eastAsia" w:ascii="黑体" w:hAnsi="黑体" w:eastAsia="黑体"/>
                <w:color w:val="000000"/>
                <w:kern w:val="2"/>
                <w:sz w:val="21"/>
                <w:szCs w:val="24"/>
                <w:lang w:eastAsia="zh-CN"/>
              </w:rPr>
            </w:pPr>
            <w:r>
              <w:rPr>
                <w:rFonts w:hint="eastAsia" w:ascii="黑体" w:hAnsi="黑体" w:eastAsia="黑体" w:cs="Times New Roman"/>
                <w:color w:val="000000"/>
                <w:kern w:val="2"/>
                <w:sz w:val="21"/>
                <w:szCs w:val="24"/>
                <w:lang w:val="en-US" w:eastAsia="zh-CN" w:bidi="ar-SA"/>
              </w:rPr>
              <w:t>对再生资源行业安全生产情况进行检查。</w:t>
            </w:r>
          </w:p>
        </w:tc>
        <w:tc>
          <w:tcPr>
            <w:tcW w:w="1284" w:type="dxa"/>
            <w:vAlign w:val="center"/>
          </w:tcPr>
          <w:p>
            <w:pPr>
              <w:jc w:val="center"/>
              <w:rPr>
                <w:rFonts w:hint="eastAsia" w:ascii="黑体" w:hAnsi="黑体" w:eastAsia="黑体"/>
                <w:color w:val="000000"/>
                <w:kern w:val="2"/>
                <w:szCs w:val="24"/>
              </w:rPr>
            </w:pPr>
            <w:r>
              <w:rPr>
                <w:rFonts w:hint="eastAsia" w:ascii="黑体" w:hAnsi="黑体" w:eastAsia="黑体"/>
                <w:color w:val="000000"/>
              </w:rPr>
              <w:t>随机抽查；现场监督检查</w:t>
            </w:r>
          </w:p>
        </w:tc>
        <w:tc>
          <w:tcPr>
            <w:tcW w:w="1445" w:type="dxa"/>
            <w:vAlign w:val="center"/>
          </w:tcPr>
          <w:p>
            <w:pPr>
              <w:jc w:val="center"/>
              <w:rPr>
                <w:rFonts w:hint="eastAsia" w:ascii="黑体" w:hAnsi="黑体" w:eastAsia="黑体"/>
                <w:color w:val="000000"/>
                <w:lang w:eastAsia="zh-CN"/>
              </w:rPr>
            </w:pPr>
            <w:r>
              <w:rPr>
                <w:rFonts w:hint="eastAsia" w:ascii="黑体" w:hAnsi="黑体" w:eastAsia="黑体"/>
                <w:color w:val="000000"/>
                <w:lang w:eastAsia="zh-CN"/>
              </w:rPr>
              <w:t>示范区经贸和安监局、杨陵区商务局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528" w:type="dxa"/>
            <w:vAlign w:val="center"/>
          </w:tcPr>
          <w:p>
            <w:pPr>
              <w:jc w:val="center"/>
              <w:rPr>
                <w:rFonts w:hint="eastAsia" w:ascii="黑体" w:hAnsi="黑体" w:eastAsia="黑体"/>
                <w:color w:val="000000"/>
                <w:lang w:val="en-US" w:eastAsia="zh-CN"/>
              </w:rPr>
            </w:pPr>
            <w:r>
              <w:rPr>
                <w:rFonts w:hint="eastAsia" w:ascii="黑体" w:hAnsi="黑体" w:eastAsia="黑体"/>
                <w:color w:val="000000"/>
              </w:rPr>
              <w:t>8</w:t>
            </w:r>
          </w:p>
        </w:tc>
        <w:tc>
          <w:tcPr>
            <w:tcW w:w="1248" w:type="dxa"/>
            <w:vAlign w:val="center"/>
          </w:tcPr>
          <w:p>
            <w:pPr>
              <w:rPr>
                <w:rFonts w:hint="eastAsia" w:ascii="黑体" w:hAnsi="黑体" w:eastAsia="黑体"/>
                <w:color w:val="000000"/>
                <w:lang w:eastAsia="zh-CN"/>
              </w:rPr>
            </w:pPr>
            <w:r>
              <w:rPr>
                <w:rFonts w:ascii="黑体" w:hAnsi="黑体" w:eastAsia="黑体"/>
                <w:color w:val="000000"/>
              </w:rPr>
              <w:t>商贸领域安全生产监管</w:t>
            </w:r>
          </w:p>
        </w:tc>
        <w:tc>
          <w:tcPr>
            <w:tcW w:w="4549" w:type="dxa"/>
            <w:vAlign w:val="center"/>
          </w:tcPr>
          <w:p>
            <w:pPr>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b w:val="0"/>
                <w:bCs w:val="0"/>
                <w:color w:val="000000"/>
                <w:kern w:val="2"/>
                <w:sz w:val="21"/>
                <w:szCs w:val="24"/>
                <w:lang w:val="en-US" w:eastAsia="zh-CN" w:bidi="ar-SA"/>
              </w:rPr>
              <w:t>《安全生产法》第九条国务院安全生产监督管理部门依照本法，对全国安全生产工作实施综合监督管理；县级以上地方各级人民政府安全生产监督管理部门依照本法，对本行政区域内安全生产工作实施综合监督管理。县级以上地方各级人民政府有关部门依照本法和其他有关法律、法规的规定，在各自的职责范围内对有关行业、领域的安全生产工作实施监督管理。</w:t>
            </w:r>
          </w:p>
        </w:tc>
        <w:tc>
          <w:tcPr>
            <w:tcW w:w="1666" w:type="dxa"/>
            <w:vAlign w:val="center"/>
          </w:tcPr>
          <w:p>
            <w:pPr>
              <w:jc w:val="center"/>
              <w:rPr>
                <w:rFonts w:hint="eastAsia" w:ascii="黑体" w:hAnsi="黑体" w:eastAsia="黑体"/>
                <w:color w:val="000000"/>
                <w:lang w:eastAsia="zh-CN"/>
              </w:rPr>
            </w:pPr>
            <w:r>
              <w:rPr>
                <w:rFonts w:hint="eastAsia" w:ascii="黑体" w:hAnsi="黑体" w:eastAsia="黑体"/>
                <w:color w:val="000000"/>
                <w:lang w:eastAsia="zh-CN"/>
              </w:rPr>
              <w:t>限上企业</w:t>
            </w:r>
          </w:p>
          <w:p>
            <w:pPr>
              <w:jc w:val="center"/>
              <w:rPr>
                <w:rFonts w:hint="eastAsia" w:ascii="黑体" w:hAnsi="黑体" w:eastAsia="黑体"/>
                <w:color w:val="000000"/>
                <w:kern w:val="2"/>
                <w:szCs w:val="24"/>
                <w:lang w:val="en-US" w:eastAsia="zh-CN"/>
              </w:rPr>
            </w:pPr>
            <w:r>
              <w:rPr>
                <w:rFonts w:hint="eastAsia" w:ascii="黑体" w:hAnsi="黑体" w:eastAsia="黑体"/>
                <w:color w:val="000000"/>
                <w:lang w:val="en-US" w:eastAsia="zh-CN"/>
              </w:rPr>
              <w:t>94家</w:t>
            </w:r>
          </w:p>
        </w:tc>
        <w:tc>
          <w:tcPr>
            <w:tcW w:w="885" w:type="dxa"/>
            <w:vAlign w:val="center"/>
          </w:tcPr>
          <w:p>
            <w:pPr>
              <w:jc w:val="center"/>
              <w:rPr>
                <w:rFonts w:ascii="黑体" w:hAnsi="黑体" w:eastAsia="黑体"/>
                <w:color w:val="000000"/>
                <w:kern w:val="2"/>
                <w:szCs w:val="24"/>
              </w:rPr>
            </w:pPr>
            <w:r>
              <w:rPr>
                <w:rFonts w:hint="eastAsia" w:ascii="黑体" w:hAnsi="黑体" w:eastAsia="黑体"/>
                <w:color w:val="000000"/>
              </w:rPr>
              <w:t>不少于</w:t>
            </w:r>
            <w:r>
              <w:rPr>
                <w:rFonts w:hint="eastAsia" w:ascii="黑体" w:hAnsi="黑体" w:eastAsia="黑体"/>
                <w:color w:val="000000"/>
                <w:lang w:val="en-US" w:eastAsia="zh-CN"/>
              </w:rPr>
              <w:t>10</w:t>
            </w:r>
            <w:r>
              <w:rPr>
                <w:rFonts w:hint="eastAsia" w:ascii="黑体" w:hAnsi="黑体" w:eastAsia="黑体"/>
                <w:color w:val="000000"/>
              </w:rPr>
              <w:t>％</w:t>
            </w:r>
          </w:p>
        </w:tc>
        <w:tc>
          <w:tcPr>
            <w:tcW w:w="1268" w:type="dxa"/>
            <w:vAlign w:val="center"/>
          </w:tcPr>
          <w:p>
            <w:pPr>
              <w:jc w:val="center"/>
              <w:rPr>
                <w:rFonts w:hint="eastAsia" w:ascii="黑体" w:hAnsi="黑体" w:eastAsia="黑体"/>
                <w:color w:val="000000"/>
                <w:kern w:val="2"/>
                <w:szCs w:val="24"/>
              </w:rPr>
            </w:pPr>
            <w:r>
              <w:rPr>
                <w:rFonts w:hint="eastAsia" w:ascii="黑体" w:hAnsi="黑体" w:eastAsia="黑体"/>
                <w:color w:val="000000"/>
              </w:rPr>
              <w:t>每年不少于2次。</w:t>
            </w:r>
          </w:p>
        </w:tc>
        <w:tc>
          <w:tcPr>
            <w:tcW w:w="3051" w:type="dxa"/>
            <w:vAlign w:val="center"/>
          </w:tcPr>
          <w:p>
            <w:pPr>
              <w:jc w:val="both"/>
              <w:rPr>
                <w:rFonts w:hint="eastAsia" w:ascii="黑体" w:hAnsi="黑体" w:eastAsia="黑体"/>
                <w:color w:val="000000"/>
                <w:kern w:val="2"/>
                <w:sz w:val="21"/>
                <w:szCs w:val="24"/>
                <w:lang w:eastAsia="zh-CN"/>
              </w:rPr>
            </w:pPr>
            <w:r>
              <w:rPr>
                <w:rFonts w:hint="eastAsia" w:ascii="黑体" w:hAnsi="黑体" w:eastAsia="黑体" w:cs="Times New Roman"/>
                <w:color w:val="000000"/>
                <w:kern w:val="2"/>
                <w:sz w:val="21"/>
                <w:szCs w:val="24"/>
                <w:lang w:val="en-US" w:eastAsia="zh-CN" w:bidi="ar-SA"/>
              </w:rPr>
              <w:t>对商贸企业安全生产管理主体责任落实情况、生产管理制度执行运行情况、安全风险管控情况、隐患排查整治情况、应急管理情况进行检查。</w:t>
            </w:r>
          </w:p>
        </w:tc>
        <w:tc>
          <w:tcPr>
            <w:tcW w:w="1284" w:type="dxa"/>
            <w:vAlign w:val="center"/>
          </w:tcPr>
          <w:p>
            <w:pPr>
              <w:jc w:val="center"/>
              <w:rPr>
                <w:rFonts w:hint="eastAsia" w:ascii="黑体" w:hAnsi="黑体" w:eastAsia="黑体"/>
                <w:color w:val="000000"/>
                <w:kern w:val="2"/>
                <w:szCs w:val="24"/>
              </w:rPr>
            </w:pPr>
            <w:r>
              <w:rPr>
                <w:rFonts w:hint="eastAsia" w:ascii="黑体" w:hAnsi="黑体" w:eastAsia="黑体"/>
                <w:color w:val="000000"/>
              </w:rPr>
              <w:t>随机抽查；现场监督检查</w:t>
            </w:r>
          </w:p>
        </w:tc>
        <w:tc>
          <w:tcPr>
            <w:tcW w:w="1445" w:type="dxa"/>
            <w:vAlign w:val="center"/>
          </w:tcPr>
          <w:p>
            <w:pPr>
              <w:jc w:val="center"/>
              <w:rPr>
                <w:rFonts w:hint="eastAsia" w:ascii="黑体" w:hAnsi="黑体" w:eastAsia="黑体"/>
                <w:color w:val="000000"/>
                <w:lang w:eastAsia="zh-CN"/>
              </w:rPr>
            </w:pPr>
            <w:r>
              <w:rPr>
                <w:rFonts w:hint="eastAsia" w:ascii="黑体" w:hAnsi="黑体" w:eastAsia="黑体"/>
                <w:color w:val="000000"/>
                <w:lang w:eastAsia="zh-CN"/>
              </w:rPr>
              <w:t>示范区经贸和安监局、杨陵区商务局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528" w:type="dxa"/>
            <w:vAlign w:val="center"/>
          </w:tcPr>
          <w:p>
            <w:pPr>
              <w:jc w:val="center"/>
              <w:rPr>
                <w:rFonts w:hint="eastAsia" w:ascii="黑体" w:hAnsi="黑体" w:eastAsia="黑体"/>
                <w:color w:val="000000"/>
                <w:lang w:eastAsia="zh-CN"/>
              </w:rPr>
            </w:pPr>
            <w:r>
              <w:rPr>
                <w:rFonts w:hint="eastAsia" w:ascii="黑体" w:hAnsi="黑体" w:eastAsia="黑体"/>
                <w:color w:val="000000"/>
                <w:lang w:val="en-US" w:eastAsia="zh-CN"/>
              </w:rPr>
              <w:t>9</w:t>
            </w:r>
          </w:p>
        </w:tc>
        <w:tc>
          <w:tcPr>
            <w:tcW w:w="1248" w:type="dxa"/>
            <w:vAlign w:val="center"/>
          </w:tcPr>
          <w:p>
            <w:pPr>
              <w:rPr>
                <w:rFonts w:ascii="黑体" w:hAnsi="黑体" w:eastAsia="黑体"/>
                <w:color w:val="000000"/>
              </w:rPr>
            </w:pPr>
            <w:r>
              <w:rPr>
                <w:rFonts w:hint="eastAsia" w:ascii="黑体" w:hAnsi="黑体" w:eastAsia="黑体"/>
                <w:color w:val="000000"/>
                <w:lang w:eastAsia="zh-CN"/>
              </w:rPr>
              <w:t>工业</w:t>
            </w:r>
            <w:r>
              <w:rPr>
                <w:rFonts w:ascii="黑体" w:hAnsi="黑体" w:eastAsia="黑体"/>
                <w:color w:val="000000"/>
              </w:rPr>
              <w:t>领域安全生产监管</w:t>
            </w:r>
          </w:p>
        </w:tc>
        <w:tc>
          <w:tcPr>
            <w:tcW w:w="4549" w:type="dxa"/>
            <w:vAlign w:val="center"/>
          </w:tcPr>
          <w:p>
            <w:pPr>
              <w:rPr>
                <w:rFonts w:hint="eastAsia" w:ascii="黑体" w:hAnsi="黑体" w:eastAsia="黑体" w:cs="Times New Roman"/>
                <w:b w:val="0"/>
                <w:bCs w:val="0"/>
                <w:color w:val="000000"/>
                <w:kern w:val="2"/>
                <w:sz w:val="21"/>
                <w:szCs w:val="24"/>
                <w:lang w:val="en-US" w:eastAsia="zh-CN" w:bidi="ar-SA"/>
              </w:rPr>
            </w:pPr>
            <w:r>
              <w:rPr>
                <w:rFonts w:hint="eastAsia" w:ascii="黑体" w:hAnsi="黑体" w:eastAsia="黑体" w:cs="Times New Roman"/>
                <w:b w:val="0"/>
                <w:bCs w:val="0"/>
                <w:color w:val="000000"/>
                <w:kern w:val="2"/>
                <w:sz w:val="21"/>
                <w:szCs w:val="24"/>
                <w:lang w:val="en-US" w:eastAsia="zh-CN" w:bidi="ar-SA"/>
              </w:rPr>
              <w:t>《安全生产法》第九条国务院安全生产监督管理部门依照本法，对全国安全生产工作实施综合监督管理；县级以上地方各级人民政府安全生产监督管理部门依照本法，对本行政区域内安全生产工作实施综合监督管理。县级以上地方各级人民政府有关部门依照本法和其他有关法律、法规的规定，在各自的职责范围内对有关行业、领域的安全生产工作实施监督管理。</w:t>
            </w:r>
          </w:p>
        </w:tc>
        <w:tc>
          <w:tcPr>
            <w:tcW w:w="1666" w:type="dxa"/>
            <w:vAlign w:val="center"/>
          </w:tcPr>
          <w:p>
            <w:pPr>
              <w:jc w:val="center"/>
              <w:rPr>
                <w:rFonts w:hint="eastAsia" w:ascii="黑体" w:hAnsi="黑体" w:eastAsia="黑体"/>
                <w:color w:val="000000"/>
                <w:lang w:eastAsia="zh-CN"/>
              </w:rPr>
            </w:pPr>
            <w:r>
              <w:rPr>
                <w:rFonts w:hint="eastAsia" w:ascii="黑体" w:hAnsi="黑体" w:eastAsia="黑体"/>
                <w:color w:val="000000"/>
                <w:lang w:eastAsia="zh-CN"/>
              </w:rPr>
              <w:t>规上企业</w:t>
            </w:r>
          </w:p>
          <w:p>
            <w:pPr>
              <w:jc w:val="center"/>
              <w:rPr>
                <w:rFonts w:hint="eastAsia" w:ascii="黑体" w:hAnsi="黑体" w:eastAsia="黑体"/>
                <w:color w:val="000000"/>
                <w:lang w:val="en-US" w:eastAsia="zh-CN"/>
              </w:rPr>
            </w:pPr>
            <w:r>
              <w:rPr>
                <w:rFonts w:hint="eastAsia" w:ascii="黑体" w:hAnsi="黑体" w:eastAsia="黑体"/>
                <w:color w:val="000000"/>
                <w:lang w:val="en-US" w:eastAsia="zh-CN"/>
              </w:rPr>
              <w:t>116家</w:t>
            </w:r>
          </w:p>
        </w:tc>
        <w:tc>
          <w:tcPr>
            <w:tcW w:w="885" w:type="dxa"/>
            <w:vAlign w:val="center"/>
          </w:tcPr>
          <w:p>
            <w:pPr>
              <w:jc w:val="center"/>
              <w:rPr>
                <w:rFonts w:hint="eastAsia" w:ascii="黑体" w:hAnsi="黑体" w:eastAsia="黑体"/>
                <w:color w:val="000000"/>
              </w:rPr>
            </w:pPr>
            <w:r>
              <w:rPr>
                <w:rFonts w:hint="eastAsia" w:ascii="黑体" w:hAnsi="黑体" w:eastAsia="黑体"/>
                <w:color w:val="000000"/>
              </w:rPr>
              <w:t>不少于</w:t>
            </w:r>
            <w:r>
              <w:rPr>
                <w:rFonts w:hint="eastAsia" w:ascii="黑体" w:hAnsi="黑体" w:eastAsia="黑体"/>
                <w:color w:val="000000"/>
                <w:lang w:val="en-US" w:eastAsia="zh-CN"/>
              </w:rPr>
              <w:t>10</w:t>
            </w:r>
            <w:r>
              <w:rPr>
                <w:rFonts w:hint="eastAsia" w:ascii="黑体" w:hAnsi="黑体" w:eastAsia="黑体"/>
                <w:color w:val="000000"/>
              </w:rPr>
              <w:t>％</w:t>
            </w:r>
          </w:p>
        </w:tc>
        <w:tc>
          <w:tcPr>
            <w:tcW w:w="1268" w:type="dxa"/>
            <w:vAlign w:val="center"/>
          </w:tcPr>
          <w:p>
            <w:pPr>
              <w:jc w:val="center"/>
              <w:rPr>
                <w:rFonts w:hint="eastAsia" w:ascii="黑体" w:hAnsi="黑体" w:eastAsia="黑体"/>
                <w:color w:val="000000"/>
              </w:rPr>
            </w:pPr>
            <w:r>
              <w:rPr>
                <w:rFonts w:hint="eastAsia" w:ascii="黑体" w:hAnsi="黑体" w:eastAsia="黑体"/>
                <w:color w:val="000000"/>
              </w:rPr>
              <w:t>每年不少于2次。</w:t>
            </w:r>
          </w:p>
        </w:tc>
        <w:tc>
          <w:tcPr>
            <w:tcW w:w="3051" w:type="dxa"/>
            <w:vAlign w:val="center"/>
          </w:tcPr>
          <w:p>
            <w:pPr>
              <w:jc w:val="both"/>
              <w:rPr>
                <w:rFonts w:hint="eastAsia" w:ascii="黑体" w:hAnsi="黑体" w:eastAsia="黑体" w:cs="Times New Roman"/>
                <w:color w:val="000000"/>
                <w:kern w:val="2"/>
                <w:sz w:val="21"/>
                <w:szCs w:val="24"/>
                <w:lang w:val="en-US" w:eastAsia="zh-CN" w:bidi="ar-SA"/>
              </w:rPr>
            </w:pPr>
            <w:r>
              <w:rPr>
                <w:rFonts w:hint="eastAsia" w:ascii="黑体" w:hAnsi="黑体" w:eastAsia="黑体" w:cs="Times New Roman"/>
                <w:color w:val="000000"/>
                <w:kern w:val="2"/>
                <w:sz w:val="21"/>
                <w:szCs w:val="24"/>
                <w:lang w:val="en-US" w:eastAsia="zh-CN" w:bidi="ar-SA"/>
              </w:rPr>
              <w:t>对工业企业安全生产管理主体责任落实情况、生产管理制度执行运行情况、安全风险管控情况、隐患排查整治情况、应急管理情况进行检查。</w:t>
            </w:r>
          </w:p>
        </w:tc>
        <w:tc>
          <w:tcPr>
            <w:tcW w:w="1284" w:type="dxa"/>
            <w:vAlign w:val="center"/>
          </w:tcPr>
          <w:p>
            <w:pPr>
              <w:jc w:val="center"/>
              <w:rPr>
                <w:rFonts w:hint="eastAsia" w:ascii="黑体" w:hAnsi="黑体" w:eastAsia="黑体"/>
                <w:color w:val="000000"/>
              </w:rPr>
            </w:pPr>
            <w:r>
              <w:rPr>
                <w:rFonts w:hint="eastAsia" w:ascii="黑体" w:hAnsi="黑体" w:eastAsia="黑体"/>
                <w:color w:val="000000"/>
              </w:rPr>
              <w:t>随机抽查；现场监督检查</w:t>
            </w:r>
          </w:p>
        </w:tc>
        <w:tc>
          <w:tcPr>
            <w:tcW w:w="1445" w:type="dxa"/>
            <w:vAlign w:val="center"/>
          </w:tcPr>
          <w:p>
            <w:pPr>
              <w:jc w:val="center"/>
              <w:rPr>
                <w:rFonts w:hint="eastAsia" w:ascii="黑体" w:hAnsi="黑体" w:eastAsia="黑体"/>
                <w:color w:val="000000"/>
                <w:lang w:eastAsia="zh-CN"/>
              </w:rPr>
            </w:pPr>
            <w:r>
              <w:rPr>
                <w:rFonts w:hint="eastAsia" w:ascii="黑体" w:hAnsi="黑体" w:eastAsia="黑体"/>
                <w:color w:val="000000"/>
                <w:lang w:eastAsia="zh-CN"/>
              </w:rPr>
              <w:t>示范区经贸和安监局、杨陵区商务局</w:t>
            </w:r>
          </w:p>
        </w:tc>
      </w:tr>
    </w:tbl>
    <w:p/>
    <w:p/>
    <w:p/>
    <w:p/>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46D44"/>
    <w:rsid w:val="15546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2017-09-09T06:38:00Z</dcterms:created>
  <dc:creator>Administrator</dc:creator>
  <cp:lastModifiedBy>Administrator</cp:lastModifiedBy>
  <dcterms:modified xsi:type="dcterms:W3CDTF">2017-09-09T06:39:18Z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