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ind w:left="1440" w:hanging="1440" w:hangingChars="450"/>
        <w:rPr>
          <w:rFonts w:hint="eastAsia" w:ascii="BatangChe" w:hAnsi="BatangChe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BatangChe" w:hAnsi="BatangChe" w:eastAsia="仿宋_GB2312"/>
          <w:sz w:val="32"/>
          <w:szCs w:val="32"/>
        </w:rPr>
        <w:t>附件：</w:t>
      </w:r>
    </w:p>
    <w:tbl>
      <w:tblPr>
        <w:tblStyle w:val="4"/>
        <w:tblW w:w="8340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3380"/>
        <w:gridCol w:w="1840"/>
        <w:gridCol w:w="2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34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宋体" w:eastAsia="方正小标宋简体" w:cs="宋体"/>
                <w:kern w:val="0"/>
                <w:sz w:val="32"/>
                <w:szCs w:val="32"/>
              </w:rPr>
            </w:pPr>
            <w:r>
              <w:rPr>
                <w:rFonts w:hint="eastAsia" w:ascii="方正小标宋简体" w:hAnsi="宋体" w:eastAsia="方正小标宋简体" w:cs="宋体"/>
                <w:kern w:val="0"/>
                <w:sz w:val="32"/>
                <w:szCs w:val="32"/>
              </w:rPr>
              <w:t>2019年度工业稳增长流动资金贷款贴息项目支持计划公示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序号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企业名称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是否有符合支持要求的流动资金融资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是否纳入支持计划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杨凌本香农业产业集团有限公司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杨凌科森生物制药有限责任公司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陕西今正药业有限公司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陕西娇名生物科技股份有限公司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杨凌景卉农业股份有限公司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杨凌星环机械制造有限公司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陕西杨凌锦川管业科技有限公司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陕西华电杨凌热电有限公司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9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杨凌迪高维尔生物科技有限公司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10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杨凌金海生物技术有限公司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11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杨凌鲁力农机装备有限公司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12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杨凌天工实业股份有限公司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13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陕西杨凌富仕特饲料有限公司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14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杨凌雨露节水绿化工程有限公司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15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陕西液化天然气投资发展有限公司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16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陕西华秦农牧科技有限公司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17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杨凌乐达生物科技有限公司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7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18</w:t>
            </w:r>
          </w:p>
        </w:tc>
        <w:tc>
          <w:tcPr>
            <w:tcW w:w="3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陕西郝其军制药股份有限公司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是</w:t>
            </w:r>
          </w:p>
        </w:tc>
      </w:tr>
    </w:tbl>
    <w:p>
      <w:pPr>
        <w:adjustRightInd w:val="0"/>
        <w:snapToGrid w:val="0"/>
        <w:spacing w:line="360" w:lineRule="auto"/>
        <w:ind w:left="945" w:hanging="945" w:hangingChars="450"/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186EB5"/>
    <w:rsid w:val="50186EB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2019-12-27T09:58:00Z</dcterms:created>
  <dc:creator>留白1406861224</dc:creator>
  <cp:lastModifiedBy>留白1406861224</cp:lastModifiedBy>
  <dcterms:modified xsi:type="dcterms:W3CDTF">2019-12-27T09:58:38Z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